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4E" w:rsidRPr="00AF7D18" w:rsidRDefault="00241CC4" w:rsidP="00302F4E">
      <w:pPr>
        <w:spacing w:line="360" w:lineRule="auto"/>
        <w:jc w:val="center"/>
        <w:rPr>
          <w:b/>
        </w:rPr>
      </w:pPr>
      <w:r w:rsidRPr="00241CC4">
        <w:rPr>
          <w:b/>
          <w:bCs/>
        </w:rPr>
        <w:t>RENKLERLE RİSKLER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Gelişim Alanı: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Akademik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Yeterlik Alanı: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Okula ve okulun çevresine uyum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Kazanım/Hafta: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Okul ve çevresinde risk oluşturabilecek durum ve ortamlara karşı kendini korur. / 4.hafta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Sınıf Düzeyi: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5.sınıf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Süre:</w:t>
            </w:r>
          </w:p>
        </w:tc>
        <w:tc>
          <w:tcPr>
            <w:tcW w:w="6095" w:type="dxa"/>
          </w:tcPr>
          <w:p w:rsidR="00302F4E" w:rsidRPr="00054B84" w:rsidRDefault="00302F4E" w:rsidP="00054B84">
            <w:pPr>
              <w:spacing w:line="276" w:lineRule="auto"/>
              <w:jc w:val="both"/>
            </w:pPr>
            <w:r w:rsidRPr="00054B84">
              <w:t>40 dakika</w:t>
            </w:r>
            <w:r w:rsidR="00241CC4">
              <w:t xml:space="preserve"> (Bir ders saati)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Araç-Gereçler:</w:t>
            </w:r>
          </w:p>
        </w:tc>
        <w:tc>
          <w:tcPr>
            <w:tcW w:w="6095" w:type="dxa"/>
          </w:tcPr>
          <w:p w:rsidR="00BA5A2D" w:rsidRPr="00054B84" w:rsidRDefault="0040351B" w:rsidP="006C2CA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 xml:space="preserve">Okul ve yakın çevresini anlatan kroki </w:t>
            </w:r>
          </w:p>
          <w:p w:rsidR="00302F4E" w:rsidRPr="00054B84" w:rsidRDefault="00BA5A2D" w:rsidP="006C2CAE">
            <w:pPr>
              <w:numPr>
                <w:ilvl w:val="0"/>
                <w:numId w:val="7"/>
              </w:numPr>
              <w:spacing w:line="276" w:lineRule="auto"/>
              <w:jc w:val="both"/>
            </w:pPr>
            <w:r>
              <w:t>Kırmızı ve yeşil renkte boya kalemleri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Uygulayıcı İçin Ön Hazırlık:</w:t>
            </w:r>
          </w:p>
        </w:tc>
        <w:tc>
          <w:tcPr>
            <w:tcW w:w="6095" w:type="dxa"/>
          </w:tcPr>
          <w:p w:rsidR="0040351B" w:rsidRDefault="000F183B" w:rsidP="00906561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Öğretmen önceden okulun ve yakın çevresindekilerin yer aldığı bir kroki</w:t>
            </w:r>
            <w:r w:rsidR="008A0367">
              <w:t xml:space="preserve"> çizerek hazırlar. </w:t>
            </w:r>
            <w:r>
              <w:t>K</w:t>
            </w:r>
            <w:r w:rsidR="00302F4E" w:rsidRPr="00054B84">
              <w:t>roki</w:t>
            </w:r>
            <w:r w:rsidR="0040351B">
              <w:t xml:space="preserve"> A</w:t>
            </w:r>
            <w:r w:rsidR="00BA5A2D">
              <w:t>4</w:t>
            </w:r>
            <w:r w:rsidR="0040351B">
              <w:t xml:space="preserve"> boyutunda </w:t>
            </w:r>
            <w:r w:rsidR="00CA28F8">
              <w:t>g</w:t>
            </w:r>
            <w:r w:rsidR="00BA5A2D">
              <w:t xml:space="preserve">rup sayısı kadar çoğaltılır. </w:t>
            </w:r>
          </w:p>
          <w:p w:rsidR="00302F4E" w:rsidRPr="00054B84" w:rsidRDefault="00BA5A2D" w:rsidP="00906561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 xml:space="preserve">Öğrencilerin önceden kırmızı ve yeşil renkte boya kalemleri getirmeleri istenir ya da öğretmen tarafından sağlanır. 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Süreç (Uygulama Basamakları):</w:t>
            </w:r>
          </w:p>
        </w:tc>
        <w:tc>
          <w:tcPr>
            <w:tcW w:w="6095" w:type="dxa"/>
          </w:tcPr>
          <w:p w:rsidR="00DD59A6" w:rsidRPr="00054B84" w:rsidRDefault="00DD59A6" w:rsidP="00054B84">
            <w:pPr>
              <w:pStyle w:val="ListeParagraf1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54B84">
              <w:rPr>
                <w:rFonts w:ascii="Times New Roman" w:hAnsi="Times New Roman"/>
              </w:rPr>
              <w:t>Etkinliğin amacının okul ve çevresinde tehlike oluşturabilecek durum ve ortamlara karşı kendini korumak olduğu açıklanır.</w:t>
            </w:r>
            <w:r w:rsidR="00062B25" w:rsidRPr="00054B84">
              <w:rPr>
                <w:rFonts w:ascii="Times New Roman" w:hAnsi="Times New Roman"/>
              </w:rPr>
              <w:t xml:space="preserve"> </w:t>
            </w:r>
          </w:p>
          <w:p w:rsidR="00302F4E" w:rsidRPr="00054B84" w:rsidRDefault="008A0367" w:rsidP="00054B84">
            <w:pPr>
              <w:pStyle w:val="ListeParagraf1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 </w:t>
            </w:r>
            <w:r w:rsidR="00DF50CB">
              <w:rPr>
                <w:rFonts w:ascii="Times New Roman" w:hAnsi="Times New Roman"/>
              </w:rPr>
              <w:t>5’er</w:t>
            </w:r>
            <w:r w:rsidR="00CA28F8">
              <w:rPr>
                <w:rFonts w:ascii="Times New Roman" w:hAnsi="Times New Roman"/>
              </w:rPr>
              <w:t xml:space="preserve"> kişilik g</w:t>
            </w:r>
            <w:r>
              <w:rPr>
                <w:rFonts w:ascii="Times New Roman" w:hAnsi="Times New Roman"/>
              </w:rPr>
              <w:t xml:space="preserve">ruplara ayrılır. </w:t>
            </w:r>
          </w:p>
          <w:p w:rsidR="00B22035" w:rsidRDefault="00302F4E" w:rsidP="00B22035">
            <w:pPr>
              <w:pStyle w:val="ListeParagraf1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054B84">
              <w:rPr>
                <w:rFonts w:ascii="Times New Roman" w:hAnsi="Times New Roman"/>
              </w:rPr>
              <w:t>Konuşma şu şekilde başlatılabilir:</w:t>
            </w:r>
          </w:p>
          <w:p w:rsidR="001F2399" w:rsidRPr="00B22035" w:rsidRDefault="00302F4E" w:rsidP="00B22035">
            <w:pPr>
              <w:pStyle w:val="ListeParagraf10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  <w:r w:rsidRPr="00B22035">
              <w:rPr>
                <w:rFonts w:ascii="Times New Roman" w:hAnsi="Times New Roman"/>
              </w:rPr>
              <w:t>“</w:t>
            </w:r>
            <w:r w:rsidRPr="00B22035">
              <w:rPr>
                <w:rFonts w:ascii="Times New Roman" w:hAnsi="Times New Roman"/>
                <w:i/>
              </w:rPr>
              <w:t xml:space="preserve">Evet çocuklar bugün sizlerle okul içinde ve okul çevresinde oluşabilecek </w:t>
            </w:r>
            <w:r w:rsidR="008A0367" w:rsidRPr="00B22035">
              <w:rPr>
                <w:rFonts w:ascii="Times New Roman" w:hAnsi="Times New Roman"/>
                <w:i/>
              </w:rPr>
              <w:t>riskli durum ve ortamlarla ilgili ve</w:t>
            </w:r>
            <w:r w:rsidRPr="00B22035">
              <w:rPr>
                <w:rFonts w:ascii="Times New Roman" w:hAnsi="Times New Roman"/>
                <w:i/>
              </w:rPr>
              <w:t xml:space="preserve"> bunlardan nasıl korunacağımız</w:t>
            </w:r>
            <w:r w:rsidR="008A0367" w:rsidRPr="00B22035">
              <w:rPr>
                <w:rFonts w:ascii="Times New Roman" w:hAnsi="Times New Roman"/>
                <w:i/>
              </w:rPr>
              <w:t xml:space="preserve">la ilgili çalışacağız. </w:t>
            </w:r>
            <w:r w:rsidRPr="00B22035">
              <w:rPr>
                <w:rFonts w:ascii="Times New Roman" w:hAnsi="Times New Roman"/>
                <w:i/>
              </w:rPr>
              <w:t xml:space="preserve"> </w:t>
            </w:r>
          </w:p>
          <w:p w:rsidR="001F2399" w:rsidRPr="001F2399" w:rsidRDefault="00297E21" w:rsidP="001F2399">
            <w:pPr>
              <w:pStyle w:val="ListeParagraf1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Ö</w:t>
            </w:r>
            <w:r w:rsidR="00302F4E" w:rsidRPr="00054B84">
              <w:rPr>
                <w:rFonts w:ascii="Times New Roman" w:hAnsi="Times New Roman"/>
              </w:rPr>
              <w:t xml:space="preserve">nceden hazırlanan okul ve çevresinin krokisi ve yuvarlak kırmızı-yeşil </w:t>
            </w:r>
            <w:r w:rsidR="00BA5A2D">
              <w:rPr>
                <w:rFonts w:ascii="Times New Roman" w:hAnsi="Times New Roman"/>
              </w:rPr>
              <w:t>boyalar</w:t>
            </w:r>
            <w:r w:rsidR="001F2399">
              <w:rPr>
                <w:rFonts w:ascii="Times New Roman" w:hAnsi="Times New Roman"/>
              </w:rPr>
              <w:t xml:space="preserve"> gruplara dağıtılır.</w:t>
            </w:r>
          </w:p>
          <w:p w:rsidR="00302F4E" w:rsidRPr="001F2399" w:rsidRDefault="00302F4E" w:rsidP="001F2399">
            <w:pPr>
              <w:pStyle w:val="ListeParagraf1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054B84">
              <w:rPr>
                <w:rFonts w:ascii="Times New Roman" w:hAnsi="Times New Roman"/>
              </w:rPr>
              <w:t xml:space="preserve">Gruplardan </w:t>
            </w:r>
            <w:r w:rsidR="00062B25" w:rsidRPr="00054B84">
              <w:rPr>
                <w:rFonts w:ascii="Times New Roman" w:hAnsi="Times New Roman"/>
              </w:rPr>
              <w:t>kroki</w:t>
            </w:r>
            <w:r w:rsidR="0040351B">
              <w:rPr>
                <w:rFonts w:ascii="Times New Roman" w:hAnsi="Times New Roman"/>
              </w:rPr>
              <w:t xml:space="preserve">yi inceleyerek </w:t>
            </w:r>
            <w:r w:rsidR="00297E21">
              <w:rPr>
                <w:rFonts w:ascii="Times New Roman" w:hAnsi="Times New Roman"/>
              </w:rPr>
              <w:t>okul ve yakın çevresinde risk oluşturabilecek durum ve ortamları belirlemeleri riskli gördükleri</w:t>
            </w:r>
            <w:r w:rsidR="00297E21" w:rsidRPr="00054B84">
              <w:rPr>
                <w:rFonts w:ascii="Times New Roman" w:hAnsi="Times New Roman"/>
              </w:rPr>
              <w:t xml:space="preserve"> </w:t>
            </w:r>
            <w:r w:rsidRPr="00054B84">
              <w:rPr>
                <w:rFonts w:ascii="Times New Roman" w:hAnsi="Times New Roman"/>
              </w:rPr>
              <w:t xml:space="preserve">yerlere kırmızı, risksiz gördükleri yerlere yeşil </w:t>
            </w:r>
            <w:r w:rsidR="00BA5A2D">
              <w:rPr>
                <w:rFonts w:ascii="Times New Roman" w:hAnsi="Times New Roman"/>
              </w:rPr>
              <w:t xml:space="preserve">boyamaları istenir. Riskli gördükleri yerlerin altına neden riskli bulduklarını ve nasıl kendilerini bu risklerden koruyabileceklerini tartışarak yazmaları istenir.  </w:t>
            </w:r>
          </w:p>
          <w:p w:rsidR="00297E21" w:rsidRDefault="00297E21" w:rsidP="00054B84">
            <w:pPr>
              <w:pStyle w:val="ListeParagraf1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 grup çalışmasını tamamladıktan sonra gönüllü olanlar sırasıyla sunum yaparla</w:t>
            </w:r>
            <w:r w:rsidR="0040351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, riskli gördükleri durum ve ortamları</w:t>
            </w:r>
            <w:r w:rsidR="004035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nedenlerini </w:t>
            </w:r>
            <w:r w:rsidR="0040351B">
              <w:rPr>
                <w:rFonts w:ascii="Times New Roman" w:hAnsi="Times New Roman"/>
              </w:rPr>
              <w:t xml:space="preserve">ve bu risklerden nasıl korunacaklarını </w:t>
            </w:r>
            <w:r w:rsidR="00CA28F8">
              <w:rPr>
                <w:rFonts w:ascii="Times New Roman" w:hAnsi="Times New Roman"/>
              </w:rPr>
              <w:t>hep birlikte sunarlar. Gruplar sunum yaparken diğer g</w:t>
            </w:r>
            <w:r>
              <w:rPr>
                <w:rFonts w:ascii="Times New Roman" w:hAnsi="Times New Roman"/>
              </w:rPr>
              <w:t xml:space="preserve">ruplar ile benzer olan maddeleri geçmeleri ve sadece farklı olanları sunmaları istenir. </w:t>
            </w:r>
          </w:p>
          <w:p w:rsidR="00297E21" w:rsidRDefault="00297E21" w:rsidP="00054B84">
            <w:pPr>
              <w:pStyle w:val="ListeParagraf1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Sunumlar tamamlandıktan sonra tartışma sorular ile etkileşime devam edilir. </w:t>
            </w:r>
          </w:p>
          <w:p w:rsidR="00D6263A" w:rsidRDefault="00FF574F" w:rsidP="00906561">
            <w:pPr>
              <w:pStyle w:val="ListeParagraf10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içindeki riskli durum ve olaylardan kendimizi nasıl koruyabiliriz? Nasıl önlemler alabiliriz?</w:t>
            </w:r>
          </w:p>
          <w:p w:rsidR="00D6263A" w:rsidRDefault="00297E21" w:rsidP="00906561">
            <w:pPr>
              <w:pStyle w:val="ListeParagraf10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906561">
              <w:rPr>
                <w:rFonts w:ascii="Times New Roman" w:hAnsi="Times New Roman"/>
              </w:rPr>
              <w:t>Okul çevresinde size zarar verebileceğini düşündüğünüz riskli durumlar ve ortamlar</w:t>
            </w:r>
            <w:r w:rsidR="00FF574F">
              <w:rPr>
                <w:rFonts w:ascii="Times New Roman" w:hAnsi="Times New Roman"/>
              </w:rPr>
              <w:t xml:space="preserve">dan </w:t>
            </w:r>
            <w:r w:rsidR="00FF574F">
              <w:rPr>
                <w:rFonts w:ascii="Times New Roman" w:hAnsi="Times New Roman"/>
              </w:rPr>
              <w:lastRenderedPageBreak/>
              <w:t>kendinizi nasıl koruyabilirsiniz? Nasıl önlemler alabilirsiniz?</w:t>
            </w:r>
          </w:p>
          <w:p w:rsidR="00FF574F" w:rsidRDefault="00FF574F" w:rsidP="00906561">
            <w:pPr>
              <w:pStyle w:val="ListeParagraf10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günkü etkinlikten neler öğrendiniz?</w:t>
            </w:r>
          </w:p>
          <w:p w:rsidR="00257A67" w:rsidRDefault="00297E21" w:rsidP="00257A67">
            <w:pPr>
              <w:pStyle w:val="ListeParagraf1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Öğrencilerin paylaşımları alındıktan sonra uygulayıcı eksik kaldığını düşündüğü </w:t>
            </w:r>
            <w:r w:rsidR="00FF574F">
              <w:rPr>
                <w:rFonts w:ascii="Times New Roman" w:hAnsi="Times New Roman"/>
              </w:rPr>
              <w:t>riskli durumlar ve kendilerini koruma yolları varsa</w:t>
            </w:r>
            <w:r>
              <w:rPr>
                <w:rFonts w:ascii="Times New Roman" w:hAnsi="Times New Roman"/>
              </w:rPr>
              <w:t xml:space="preserve"> paylaşımlara katkı sağlar.</w:t>
            </w:r>
          </w:p>
          <w:p w:rsidR="00257A67" w:rsidRPr="004C2992" w:rsidRDefault="00257A67" w:rsidP="00F65FB2">
            <w:pPr>
              <w:pStyle w:val="ListeParagraf10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4C2992">
              <w:rPr>
                <w:rFonts w:ascii="Times New Roman" w:hAnsi="Times New Roman"/>
                <w:i/>
              </w:rPr>
              <w:t>“</w:t>
            </w:r>
            <w:r w:rsidR="00E87D46" w:rsidRPr="004C2992">
              <w:rPr>
                <w:rFonts w:ascii="Times New Roman" w:hAnsi="Times New Roman"/>
                <w:i/>
              </w:rPr>
              <w:t>Yapmış olduğumuz etkinlikte o</w:t>
            </w:r>
            <w:r w:rsidRPr="004C2992">
              <w:rPr>
                <w:rFonts w:ascii="Times New Roman" w:hAnsi="Times New Roman"/>
                <w:i/>
              </w:rPr>
              <w:t>kul ve çevresinde risk oluşturabilecek</w:t>
            </w:r>
            <w:r w:rsidR="00E87D46" w:rsidRPr="004C2992">
              <w:rPr>
                <w:rFonts w:ascii="Times New Roman" w:hAnsi="Times New Roman"/>
                <w:i/>
              </w:rPr>
              <w:t xml:space="preserve"> hangi durum ve ortamlar olduğu ve bunlara karşı nasıl önlemler alabileceğimiz üzerinde durduk.</w:t>
            </w:r>
            <w:r w:rsidRPr="004C2992">
              <w:rPr>
                <w:rFonts w:ascii="Times New Roman" w:hAnsi="Times New Roman"/>
                <w:i/>
              </w:rPr>
              <w:t xml:space="preserve"> </w:t>
            </w:r>
            <w:r w:rsidR="00E87D46" w:rsidRPr="004C2992">
              <w:rPr>
                <w:rFonts w:ascii="Times New Roman" w:hAnsi="Times New Roman"/>
                <w:i/>
              </w:rPr>
              <w:t>Böylece bu riskleri fark ederek kendimizi nasıl koruyabileceğimiz</w:t>
            </w:r>
            <w:r w:rsidR="004C2992" w:rsidRPr="004C2992">
              <w:rPr>
                <w:rFonts w:ascii="Times New Roman" w:hAnsi="Times New Roman"/>
                <w:i/>
              </w:rPr>
              <w:t>i</w:t>
            </w:r>
            <w:r w:rsidR="00E87D46" w:rsidRPr="004C2992">
              <w:rPr>
                <w:rFonts w:ascii="Times New Roman" w:hAnsi="Times New Roman"/>
                <w:i/>
              </w:rPr>
              <w:t xml:space="preserve"> öğrenmiş olduk</w:t>
            </w:r>
            <w:r w:rsidR="004C2992" w:rsidRPr="004C2992">
              <w:rPr>
                <w:rFonts w:ascii="Times New Roman" w:hAnsi="Times New Roman"/>
                <w:i/>
              </w:rPr>
              <w:t>.”</w:t>
            </w:r>
            <w:r w:rsidR="004C2992">
              <w:rPr>
                <w:rFonts w:ascii="Times New Roman" w:hAnsi="Times New Roman"/>
                <w:i/>
              </w:rPr>
              <w:t xml:space="preserve"> </w:t>
            </w:r>
            <w:r w:rsidR="00F65FB2">
              <w:rPr>
                <w:rFonts w:ascii="Times New Roman" w:hAnsi="Times New Roman"/>
              </w:rPr>
              <w:t>ifadesiyle</w:t>
            </w:r>
            <w:r w:rsidR="004C2992" w:rsidRPr="004C2992">
              <w:rPr>
                <w:rFonts w:ascii="Times New Roman" w:hAnsi="Times New Roman"/>
              </w:rPr>
              <w:t xml:space="preserve"> </w:t>
            </w:r>
            <w:r w:rsidR="004C2992">
              <w:rPr>
                <w:rFonts w:ascii="Times New Roman" w:hAnsi="Times New Roman"/>
              </w:rPr>
              <w:t>etkinlik sonlandırılır.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lastRenderedPageBreak/>
              <w:t>Kazanımın Değerlendirilmesi:</w:t>
            </w:r>
          </w:p>
        </w:tc>
        <w:tc>
          <w:tcPr>
            <w:tcW w:w="6095" w:type="dxa"/>
          </w:tcPr>
          <w:p w:rsidR="00FF574F" w:rsidRDefault="00FF574F" w:rsidP="009065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Öğrenci </w:t>
            </w:r>
            <w:r w:rsidR="00302F4E" w:rsidRPr="00054B84">
              <w:t>kroki</w:t>
            </w:r>
            <w:r>
              <w:t>leri</w:t>
            </w:r>
            <w:r w:rsidR="00302F4E" w:rsidRPr="00054B84">
              <w:t xml:space="preserve"> son haliyle sınıf panosuna asılır. </w:t>
            </w:r>
          </w:p>
          <w:p w:rsidR="00302F4E" w:rsidRPr="00054B84" w:rsidRDefault="00FF574F" w:rsidP="0090656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Öğrencilerden bireysel olarak kendilerini risklerden korumaya yönelik ve etkinlikte öğrettiklerini anlatan birer şiir, mani vb. yazmaları istenir. </w:t>
            </w:r>
          </w:p>
        </w:tc>
      </w:tr>
      <w:tr w:rsidR="00302F4E" w:rsidRPr="005D07A4" w:rsidTr="009A50F6">
        <w:tc>
          <w:tcPr>
            <w:tcW w:w="3369" w:type="dxa"/>
          </w:tcPr>
          <w:p w:rsidR="00302F4E" w:rsidRPr="005D07A4" w:rsidRDefault="00302F4E" w:rsidP="009A50F6">
            <w:pPr>
              <w:spacing w:line="360" w:lineRule="auto"/>
              <w:rPr>
                <w:b/>
              </w:rPr>
            </w:pPr>
            <w:r w:rsidRPr="005D07A4">
              <w:rPr>
                <w:b/>
                <w:sz w:val="22"/>
                <w:szCs w:val="22"/>
              </w:rPr>
              <w:t>Uygulayıcıya Not:</w:t>
            </w:r>
          </w:p>
        </w:tc>
        <w:tc>
          <w:tcPr>
            <w:tcW w:w="6095" w:type="dxa"/>
          </w:tcPr>
          <w:p w:rsidR="00302F4E" w:rsidRPr="00906561" w:rsidRDefault="00B1470E" w:rsidP="00DF50C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/>
              </w:rPr>
            </w:pPr>
            <w:r>
              <w:t>Öğrenciler risk</w:t>
            </w:r>
            <w:r w:rsidR="00782988">
              <w:t>l</w:t>
            </w:r>
            <w:r>
              <w:t xml:space="preserve">i ortam ya da durumları bulmakta zorlanırsa öğretmen ipuçları verebilir. </w:t>
            </w:r>
          </w:p>
          <w:p w:rsidR="00B1470E" w:rsidRPr="00DF50CB" w:rsidRDefault="00B1470E" w:rsidP="00DF50CB">
            <w:pPr>
              <w:numPr>
                <w:ilvl w:val="0"/>
                <w:numId w:val="6"/>
              </w:numPr>
              <w:spacing w:line="276" w:lineRule="auto"/>
              <w:jc w:val="both"/>
              <w:rPr>
                <w:i/>
              </w:rPr>
            </w:pPr>
            <w:r>
              <w:t>Riskli durum ya da ortamlar üzerinde durulurken sağlık, okul çevresinde yiyecek, içec</w:t>
            </w:r>
            <w:r w:rsidR="00782988">
              <w:t xml:space="preserve">ek, ulaşım vb. her türlü durum </w:t>
            </w:r>
            <w:r>
              <w:t xml:space="preserve">ve okul risk haritaları göz önünde bulundurulmaya çalışılır. </w:t>
            </w:r>
          </w:p>
          <w:p w:rsidR="00DF50CB" w:rsidRDefault="00DF50CB" w:rsidP="00DF50CB">
            <w:pPr>
              <w:numPr>
                <w:ilvl w:val="0"/>
                <w:numId w:val="6"/>
              </w:numPr>
              <w:spacing w:line="276" w:lineRule="auto"/>
              <w:jc w:val="both"/>
            </w:pPr>
            <w:r w:rsidRPr="000A75D7">
              <w:t>Gruplara ayırma sü</w:t>
            </w:r>
            <w:r>
              <w:t xml:space="preserve">recinde literatürde yer alan farklı </w:t>
            </w:r>
            <w:r w:rsidRPr="000A75D7">
              <w:t>gruba ayırma teknik</w:t>
            </w:r>
            <w:r>
              <w:t>lerinden yararlanılabilir.</w:t>
            </w:r>
          </w:p>
          <w:p w:rsidR="00241CC4" w:rsidRDefault="00241CC4" w:rsidP="00241CC4">
            <w:pPr>
              <w:spacing w:line="276" w:lineRule="auto"/>
              <w:jc w:val="both"/>
            </w:pPr>
          </w:p>
          <w:p w:rsidR="0052223A" w:rsidRDefault="0052223A" w:rsidP="00241CC4">
            <w:pPr>
              <w:spacing w:line="276" w:lineRule="auto"/>
              <w:jc w:val="both"/>
            </w:pPr>
            <w:r>
              <w:t>Özel gereksinimli öğrenciler için;</w:t>
            </w:r>
          </w:p>
          <w:p w:rsidR="0052223A" w:rsidRDefault="0052223A" w:rsidP="00241CC4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 xml:space="preserve">Kroki daha büyük </w:t>
            </w:r>
            <w:r w:rsidR="00CA28F8">
              <w:t>kâğıtlara</w:t>
            </w:r>
            <w:r>
              <w:t xml:space="preserve"> hazırlanarak materyal uyarlanabilir.</w:t>
            </w:r>
          </w:p>
          <w:p w:rsidR="0052223A" w:rsidRDefault="0052223A" w:rsidP="00241CC4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t>Gruplara ayırma sırasında akran eşlemesine yer verilerek sosyal çevre düzenlenebilir.</w:t>
            </w:r>
          </w:p>
          <w:p w:rsidR="00DF50CB" w:rsidRPr="00054B84" w:rsidRDefault="0052223A" w:rsidP="00241CC4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i/>
              </w:rPr>
            </w:pPr>
            <w:r>
              <w:t xml:space="preserve">Riskli durumlarla ilgili duruma dönük görseller gösterilerek etkinlik çeşitlendirilebilir. </w:t>
            </w:r>
            <w:r w:rsidR="00D67229">
              <w:t xml:space="preserve">Riskli durumlardan korunma yolları ile ilgili görseller sunulup durumlar </w:t>
            </w:r>
            <w:r w:rsidR="00CA28F8">
              <w:t>hikâyeleştirilerek</w:t>
            </w:r>
            <w:r w:rsidR="00D67229">
              <w:t xml:space="preserve"> öğrenme süreci farklılaştırılabilir.</w:t>
            </w:r>
          </w:p>
        </w:tc>
      </w:tr>
      <w:tr w:rsidR="00241CC4" w:rsidRPr="005D07A4" w:rsidTr="009A50F6">
        <w:tc>
          <w:tcPr>
            <w:tcW w:w="3369" w:type="dxa"/>
          </w:tcPr>
          <w:p w:rsidR="00241CC4" w:rsidRPr="005D07A4" w:rsidRDefault="00241CC4" w:rsidP="009A50F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Etkinliği Geliştiren:</w:t>
            </w:r>
          </w:p>
        </w:tc>
        <w:tc>
          <w:tcPr>
            <w:tcW w:w="6095" w:type="dxa"/>
          </w:tcPr>
          <w:p w:rsidR="00241CC4" w:rsidRDefault="00241CC4" w:rsidP="00241CC4">
            <w:pPr>
              <w:spacing w:line="276" w:lineRule="auto"/>
              <w:jc w:val="both"/>
            </w:pPr>
            <w:r>
              <w:t>Rabia Akkoç</w:t>
            </w:r>
          </w:p>
        </w:tc>
      </w:tr>
    </w:tbl>
    <w:p w:rsidR="00302F4E" w:rsidRDefault="00302F4E" w:rsidP="00302F4E">
      <w:pPr>
        <w:tabs>
          <w:tab w:val="left" w:pos="6760"/>
        </w:tabs>
      </w:pPr>
    </w:p>
    <w:p w:rsidR="00302F4E" w:rsidRDefault="00302F4E" w:rsidP="00302F4E">
      <w:pPr>
        <w:tabs>
          <w:tab w:val="left" w:pos="6760"/>
        </w:tabs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sectPr w:rsidR="0078389B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81" w:rsidRDefault="00B90D81">
      <w:r>
        <w:separator/>
      </w:r>
    </w:p>
  </w:endnote>
  <w:endnote w:type="continuationSeparator" w:id="1">
    <w:p w:rsidR="00B90D81" w:rsidRDefault="00B9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81" w:rsidRDefault="00B90D81">
      <w:r>
        <w:separator/>
      </w:r>
    </w:p>
  </w:footnote>
  <w:footnote w:type="continuationSeparator" w:id="1">
    <w:p w:rsidR="00B90D81" w:rsidRDefault="00B90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50"/>
    <w:multiLevelType w:val="hybridMultilevel"/>
    <w:tmpl w:val="18BEA45A"/>
    <w:lvl w:ilvl="0" w:tplc="9A5E93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E3ADF"/>
    <w:multiLevelType w:val="hybridMultilevel"/>
    <w:tmpl w:val="7E6087A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61E88"/>
    <w:multiLevelType w:val="hybridMultilevel"/>
    <w:tmpl w:val="5AFCD0B4"/>
    <w:lvl w:ilvl="0" w:tplc="041F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B1BA0"/>
    <w:multiLevelType w:val="hybridMultilevel"/>
    <w:tmpl w:val="3920063E"/>
    <w:lvl w:ilvl="0" w:tplc="13F86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32EEA"/>
    <w:multiLevelType w:val="hybridMultilevel"/>
    <w:tmpl w:val="2B164FFA"/>
    <w:lvl w:ilvl="0" w:tplc="36D6FA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6">
    <w:nsid w:val="1A487483"/>
    <w:multiLevelType w:val="hybridMultilevel"/>
    <w:tmpl w:val="2FF66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42B0"/>
    <w:multiLevelType w:val="hybridMultilevel"/>
    <w:tmpl w:val="73502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FC1F80"/>
    <w:multiLevelType w:val="hybridMultilevel"/>
    <w:tmpl w:val="B9F80BA0"/>
    <w:lvl w:ilvl="0" w:tplc="D25006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CD54D7"/>
    <w:multiLevelType w:val="hybridMultilevel"/>
    <w:tmpl w:val="F06E2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75905"/>
    <w:multiLevelType w:val="hybridMultilevel"/>
    <w:tmpl w:val="5B38E930"/>
    <w:lvl w:ilvl="0" w:tplc="D25006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50151"/>
    <w:multiLevelType w:val="hybridMultilevel"/>
    <w:tmpl w:val="69FEA808"/>
    <w:lvl w:ilvl="0" w:tplc="D25006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7D18"/>
    <w:rsid w:val="00034E1F"/>
    <w:rsid w:val="0004061B"/>
    <w:rsid w:val="00053662"/>
    <w:rsid w:val="00054B84"/>
    <w:rsid w:val="00062B25"/>
    <w:rsid w:val="00063A23"/>
    <w:rsid w:val="00086F58"/>
    <w:rsid w:val="000966CF"/>
    <w:rsid w:val="000F183B"/>
    <w:rsid w:val="001332EE"/>
    <w:rsid w:val="001572A5"/>
    <w:rsid w:val="001940DE"/>
    <w:rsid w:val="001A030D"/>
    <w:rsid w:val="001F2399"/>
    <w:rsid w:val="00241CC4"/>
    <w:rsid w:val="00257A67"/>
    <w:rsid w:val="002714D0"/>
    <w:rsid w:val="0028100B"/>
    <w:rsid w:val="00297E21"/>
    <w:rsid w:val="002A76AA"/>
    <w:rsid w:val="002D531C"/>
    <w:rsid w:val="002D7AC0"/>
    <w:rsid w:val="003023DA"/>
    <w:rsid w:val="00302F4E"/>
    <w:rsid w:val="00390F77"/>
    <w:rsid w:val="003A2206"/>
    <w:rsid w:val="003C2FA2"/>
    <w:rsid w:val="0040351B"/>
    <w:rsid w:val="004519F6"/>
    <w:rsid w:val="00491AE7"/>
    <w:rsid w:val="004B175B"/>
    <w:rsid w:val="004C2992"/>
    <w:rsid w:val="004D36C3"/>
    <w:rsid w:val="004E4CE9"/>
    <w:rsid w:val="004F3037"/>
    <w:rsid w:val="00515BB0"/>
    <w:rsid w:val="00521A86"/>
    <w:rsid w:val="0052223A"/>
    <w:rsid w:val="00547372"/>
    <w:rsid w:val="005912D2"/>
    <w:rsid w:val="005D07A4"/>
    <w:rsid w:val="005D2788"/>
    <w:rsid w:val="00612BF0"/>
    <w:rsid w:val="00650F6A"/>
    <w:rsid w:val="006729C8"/>
    <w:rsid w:val="00691D36"/>
    <w:rsid w:val="00693A20"/>
    <w:rsid w:val="006C2CAE"/>
    <w:rsid w:val="00733FFE"/>
    <w:rsid w:val="00782988"/>
    <w:rsid w:val="0078389B"/>
    <w:rsid w:val="007864D7"/>
    <w:rsid w:val="00796730"/>
    <w:rsid w:val="007E4A8D"/>
    <w:rsid w:val="007E6397"/>
    <w:rsid w:val="00841C7A"/>
    <w:rsid w:val="0085750C"/>
    <w:rsid w:val="00863F20"/>
    <w:rsid w:val="008A0367"/>
    <w:rsid w:val="00906561"/>
    <w:rsid w:val="00910CBD"/>
    <w:rsid w:val="00912D1E"/>
    <w:rsid w:val="00915E67"/>
    <w:rsid w:val="00922AD7"/>
    <w:rsid w:val="00932A54"/>
    <w:rsid w:val="009858ED"/>
    <w:rsid w:val="009A50F6"/>
    <w:rsid w:val="009E604F"/>
    <w:rsid w:val="009F52E7"/>
    <w:rsid w:val="00AF7D18"/>
    <w:rsid w:val="00B142E6"/>
    <w:rsid w:val="00B1470E"/>
    <w:rsid w:val="00B22035"/>
    <w:rsid w:val="00B70967"/>
    <w:rsid w:val="00B86F14"/>
    <w:rsid w:val="00B90D81"/>
    <w:rsid w:val="00BA5A2D"/>
    <w:rsid w:val="00BC33B3"/>
    <w:rsid w:val="00C16869"/>
    <w:rsid w:val="00C27A77"/>
    <w:rsid w:val="00C92F37"/>
    <w:rsid w:val="00CA28F8"/>
    <w:rsid w:val="00CD0C5D"/>
    <w:rsid w:val="00D6263A"/>
    <w:rsid w:val="00D67229"/>
    <w:rsid w:val="00DD03AC"/>
    <w:rsid w:val="00DD59A6"/>
    <w:rsid w:val="00DF3681"/>
    <w:rsid w:val="00DF50CB"/>
    <w:rsid w:val="00E0198C"/>
    <w:rsid w:val="00E64583"/>
    <w:rsid w:val="00E67F6D"/>
    <w:rsid w:val="00E7212E"/>
    <w:rsid w:val="00E87D46"/>
    <w:rsid w:val="00F3783A"/>
    <w:rsid w:val="00F4365E"/>
    <w:rsid w:val="00F60637"/>
    <w:rsid w:val="00F65FB2"/>
    <w:rsid w:val="00F77AFC"/>
    <w:rsid w:val="00FB12FC"/>
    <w:rsid w:val="00FC38EE"/>
    <w:rsid w:val="00FF2A62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2D2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customStyle="1" w:styleId="ListeParagraf10">
    <w:name w:val="Liste Paragraf1"/>
    <w:basedOn w:val="Normal"/>
    <w:rsid w:val="00302F4E"/>
    <w:pPr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49C6-0621-401E-90C0-F223D9AD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kanuni</cp:lastModifiedBy>
  <cp:revision>2</cp:revision>
  <dcterms:created xsi:type="dcterms:W3CDTF">2020-11-11T10:02:00Z</dcterms:created>
  <dcterms:modified xsi:type="dcterms:W3CDTF">2020-11-11T10:02:00Z</dcterms:modified>
</cp:coreProperties>
</file>